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D3" w:rsidRPr="005345D3" w:rsidRDefault="005345D3" w:rsidP="005345D3">
      <w:pPr>
        <w:shd w:val="clear" w:color="auto" w:fill="FFFFFF"/>
        <w:spacing w:before="100" w:beforeAutospacing="1" w:after="100" w:afterAutospacing="1" w:line="720" w:lineRule="atLeast"/>
        <w:outlineLvl w:val="0"/>
        <w:rPr>
          <w:rFonts w:eastAsia="Times New Roman" w:cstheme="minorHAnsi"/>
          <w:b/>
          <w:color w:val="000000"/>
          <w:kern w:val="36"/>
          <w:sz w:val="28"/>
          <w:szCs w:val="24"/>
          <w:lang w:eastAsia="fr-BE"/>
        </w:rPr>
      </w:pPr>
      <w:proofErr w:type="spellStart"/>
      <w:r w:rsidRPr="005345D3">
        <w:rPr>
          <w:rFonts w:eastAsia="Times New Roman" w:cstheme="minorHAnsi"/>
          <w:b/>
          <w:color w:val="000000"/>
          <w:kern w:val="36"/>
          <w:sz w:val="28"/>
          <w:szCs w:val="24"/>
          <w:lang w:eastAsia="fr-BE"/>
        </w:rPr>
        <w:t>Eramet</w:t>
      </w:r>
      <w:proofErr w:type="spellEnd"/>
      <w:r w:rsidRPr="005345D3">
        <w:rPr>
          <w:rFonts w:eastAsia="Times New Roman" w:cstheme="minorHAnsi"/>
          <w:b/>
          <w:color w:val="000000"/>
          <w:kern w:val="36"/>
          <w:sz w:val="28"/>
          <w:szCs w:val="24"/>
          <w:lang w:eastAsia="fr-BE"/>
        </w:rPr>
        <w:t xml:space="preserve"> fortement pénalisé en 2018 par ses branches alliages et nickel</w:t>
      </w:r>
    </w:p>
    <w:p w:rsidR="005345D3" w:rsidRPr="005345D3" w:rsidRDefault="005345D3" w:rsidP="005345D3">
      <w:pPr>
        <w:shd w:val="clear" w:color="auto" w:fill="FFFFFF"/>
        <w:spacing w:after="0" w:line="240" w:lineRule="auto"/>
        <w:outlineLvl w:val="1"/>
        <w:rPr>
          <w:rFonts w:eastAsia="Times New Roman" w:cstheme="minorHAnsi"/>
          <w:color w:val="000000"/>
          <w:sz w:val="24"/>
          <w:szCs w:val="24"/>
          <w:lang w:eastAsia="fr-BE"/>
        </w:rPr>
      </w:pPr>
      <w:r w:rsidRPr="005345D3">
        <w:rPr>
          <w:rFonts w:eastAsia="Times New Roman" w:cstheme="minorHAnsi"/>
          <w:color w:val="000000"/>
          <w:sz w:val="24"/>
          <w:szCs w:val="24"/>
          <w:lang w:eastAsia="fr-BE"/>
        </w:rPr>
        <w:t xml:space="preserve">Le groupe minier et métallurgique français </w:t>
      </w:r>
      <w:proofErr w:type="spellStart"/>
      <w:r w:rsidRPr="005345D3">
        <w:rPr>
          <w:rFonts w:eastAsia="Times New Roman" w:cstheme="minorHAnsi"/>
          <w:color w:val="000000"/>
          <w:sz w:val="24"/>
          <w:szCs w:val="24"/>
          <w:lang w:eastAsia="fr-BE"/>
        </w:rPr>
        <w:t>Eramet</w:t>
      </w:r>
      <w:proofErr w:type="spellEnd"/>
      <w:r w:rsidRPr="005345D3">
        <w:rPr>
          <w:rFonts w:eastAsia="Times New Roman" w:cstheme="minorHAnsi"/>
          <w:color w:val="000000"/>
          <w:sz w:val="24"/>
          <w:szCs w:val="24"/>
          <w:lang w:eastAsia="fr-BE"/>
        </w:rPr>
        <w:t xml:space="preserve"> a publié le 20 février des résultats contrastés, avec un chiffre d’affaires en hausse de 5% porté par la hausse des cours des métaux et un résultat net positif pour la deuxième année, mais en chute de 74%. Un résultat pénalisé notamment par des défauts de qualité chez Aubert &amp; Duval et par la contre-performance de sa branche nickel.</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Lorsqu’</w:t>
      </w:r>
      <w:proofErr w:type="spellStart"/>
      <w:r w:rsidRPr="005345D3">
        <w:rPr>
          <w:rFonts w:eastAsia="Times New Roman" w:cstheme="minorHAnsi"/>
          <w:color w:val="000000"/>
          <w:sz w:val="24"/>
          <w:szCs w:val="24"/>
          <w:lang w:eastAsia="fr-BE"/>
        </w:rPr>
        <w:fldChar w:fldCharType="begin"/>
      </w:r>
      <w:r w:rsidRPr="005345D3">
        <w:rPr>
          <w:rFonts w:eastAsia="Times New Roman" w:cstheme="minorHAnsi"/>
          <w:color w:val="000000"/>
          <w:sz w:val="24"/>
          <w:szCs w:val="24"/>
          <w:lang w:eastAsia="fr-BE"/>
        </w:rPr>
        <w:instrText xml:space="preserve"> HYPERLINK "https://www.usinenouvelle.com/eramet/" \o "Eramet : Informations sur le groupe minier et métallurgique français" \t "" </w:instrText>
      </w:r>
      <w:r w:rsidRPr="005345D3">
        <w:rPr>
          <w:rFonts w:eastAsia="Times New Roman" w:cstheme="minorHAnsi"/>
          <w:color w:val="000000"/>
          <w:sz w:val="24"/>
          <w:szCs w:val="24"/>
          <w:lang w:eastAsia="fr-BE"/>
        </w:rPr>
        <w:fldChar w:fldCharType="separate"/>
      </w:r>
      <w:r w:rsidRPr="005345D3">
        <w:rPr>
          <w:rFonts w:eastAsia="Times New Roman" w:cstheme="minorHAnsi"/>
          <w:color w:val="000000"/>
          <w:sz w:val="24"/>
          <w:szCs w:val="24"/>
          <w:u w:val="single"/>
          <w:lang w:eastAsia="fr-BE"/>
        </w:rPr>
        <w:t>Eramet</w:t>
      </w:r>
      <w:proofErr w:type="spellEnd"/>
      <w:r w:rsidRPr="005345D3">
        <w:rPr>
          <w:rFonts w:eastAsia="Times New Roman" w:cstheme="minorHAnsi"/>
          <w:color w:val="000000"/>
          <w:sz w:val="24"/>
          <w:szCs w:val="24"/>
          <w:lang w:eastAsia="fr-BE"/>
        </w:rPr>
        <w:fldChar w:fldCharType="end"/>
      </w:r>
      <w:r w:rsidRPr="005345D3">
        <w:rPr>
          <w:rFonts w:eastAsia="Times New Roman" w:cstheme="minorHAnsi"/>
          <w:color w:val="000000"/>
          <w:sz w:val="24"/>
          <w:szCs w:val="24"/>
          <w:lang w:eastAsia="fr-BE"/>
        </w:rPr>
        <w:t> avait rendu publics les </w:t>
      </w:r>
      <w:hyperlink r:id="rId5" w:tgtFrame="_blank" w:history="1">
        <w:r w:rsidRPr="005345D3">
          <w:rPr>
            <w:rFonts w:eastAsia="Times New Roman" w:cstheme="minorHAnsi"/>
            <w:color w:val="000000"/>
            <w:sz w:val="24"/>
            <w:szCs w:val="24"/>
            <w:u w:val="single"/>
            <w:lang w:eastAsia="fr-BE"/>
          </w:rPr>
          <w:t>défauts de conformité constatés sur son système de contrôle dans la production d’alliages haute performance</w:t>
        </w:r>
      </w:hyperlink>
      <w:r w:rsidRPr="005345D3">
        <w:rPr>
          <w:rFonts w:eastAsia="Times New Roman" w:cstheme="minorHAnsi"/>
          <w:color w:val="000000"/>
          <w:sz w:val="24"/>
          <w:szCs w:val="24"/>
          <w:lang w:eastAsia="fr-BE"/>
        </w:rPr>
        <w:t>, en décembre 2018, le groupe avait anticipé des conséquences financières significatives, chiffrées alors </w:t>
      </w:r>
      <w:r w:rsidRPr="005345D3">
        <w:rPr>
          <w:rFonts w:eastAsia="Times New Roman" w:cstheme="minorHAnsi"/>
          <w:i/>
          <w:iCs/>
          <w:color w:val="000000"/>
          <w:sz w:val="24"/>
          <w:szCs w:val="24"/>
          <w:lang w:eastAsia="fr-BE"/>
        </w:rPr>
        <w:t>"au-dessus de 25 millions"</w:t>
      </w:r>
      <w:r w:rsidRPr="005345D3">
        <w:rPr>
          <w:rFonts w:eastAsia="Times New Roman" w:cstheme="minorHAnsi"/>
          <w:color w:val="000000"/>
          <w:sz w:val="24"/>
          <w:szCs w:val="24"/>
          <w:lang w:eastAsia="fr-BE"/>
        </w:rPr>
        <w:t>. La provision pour y remédier est finalement portée à 65 millions d’euros, et s’ajoute à la dépréciation passée sur Aubert &amp; Duval au premier semestre (200 millions d’euros).</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Cette charge exceptionnelle, qui a pesé lourdement sur les résultats 2018, n’est que partiellement compensée par un résultat positif pour la branche de 147 millions d’euros, qui comprend la cession de Guilin, son usine chinoise d’alliages de manganèse. A la fin du premier semestre, Christel Bories reconnaissait déjà que </w:t>
      </w:r>
      <w:r w:rsidRPr="005345D3">
        <w:rPr>
          <w:rFonts w:eastAsia="Times New Roman" w:cstheme="minorHAnsi"/>
          <w:i/>
          <w:iCs/>
          <w:color w:val="000000"/>
          <w:sz w:val="24"/>
          <w:szCs w:val="24"/>
          <w:lang w:eastAsia="fr-BE"/>
        </w:rPr>
        <w:t>"les ventes d'Aubert &amp; Duval (avaient) connu un net recul dans les secteurs de l'aéronautique et de l'énergie"</w:t>
      </w:r>
      <w:r w:rsidRPr="005345D3">
        <w:rPr>
          <w:rFonts w:eastAsia="Times New Roman" w:cstheme="minorHAnsi"/>
          <w:color w:val="000000"/>
          <w:sz w:val="24"/>
          <w:szCs w:val="24"/>
          <w:lang w:eastAsia="fr-BE"/>
        </w:rPr>
        <w:t>.</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BB0D22"/>
          <w:sz w:val="24"/>
          <w:szCs w:val="24"/>
          <w:lang w:eastAsia="fr-BE"/>
        </w:rPr>
        <w:t>Nouveau plan de sauvetage pour la SLN</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Les déboires s’accumulent dans la branche nickel. Le </w:t>
      </w:r>
      <w:hyperlink r:id="rId6" w:history="1">
        <w:r w:rsidRPr="005345D3">
          <w:rPr>
            <w:rFonts w:eastAsia="Times New Roman" w:cstheme="minorHAnsi"/>
            <w:color w:val="000000"/>
            <w:sz w:val="24"/>
            <w:szCs w:val="24"/>
            <w:u w:val="single"/>
            <w:lang w:eastAsia="fr-BE"/>
          </w:rPr>
          <w:t>plan de réduction des coûts de production de la SLN</w:t>
        </w:r>
      </w:hyperlink>
      <w:r w:rsidRPr="005345D3">
        <w:rPr>
          <w:rFonts w:eastAsia="Times New Roman" w:cstheme="minorHAnsi"/>
          <w:color w:val="000000"/>
          <w:sz w:val="24"/>
          <w:szCs w:val="24"/>
          <w:lang w:eastAsia="fr-BE"/>
        </w:rPr>
        <w:t> peinait déjà à tenir le rythme de la concurrence internationale, quand la filiale calédonienne a dû faire face à </w:t>
      </w:r>
      <w:hyperlink r:id="rId7" w:history="1">
        <w:r w:rsidRPr="005345D3">
          <w:rPr>
            <w:rFonts w:eastAsia="Times New Roman" w:cstheme="minorHAnsi"/>
            <w:color w:val="000000"/>
            <w:sz w:val="24"/>
            <w:szCs w:val="24"/>
            <w:u w:val="single"/>
            <w:lang w:eastAsia="fr-BE"/>
          </w:rPr>
          <w:t>des arrêts de production</w:t>
        </w:r>
      </w:hyperlink>
      <w:r w:rsidRPr="005345D3">
        <w:rPr>
          <w:rFonts w:eastAsia="Times New Roman" w:cstheme="minorHAnsi"/>
          <w:color w:val="000000"/>
          <w:sz w:val="24"/>
          <w:szCs w:val="24"/>
          <w:lang w:eastAsia="fr-BE"/>
        </w:rPr>
        <w:t> liés à une situation sociale difficile en Nouvelle-Calédonie (blocage de la SLN, incendies multiples sur les sites, arrêts pour mise en sécurité…). Le groupe parle à nouveau de </w:t>
      </w:r>
      <w:r w:rsidRPr="005345D3">
        <w:rPr>
          <w:rFonts w:eastAsia="Times New Roman" w:cstheme="minorHAnsi"/>
          <w:i/>
          <w:iCs/>
          <w:color w:val="000000"/>
          <w:sz w:val="24"/>
          <w:szCs w:val="24"/>
          <w:lang w:eastAsia="fr-BE"/>
        </w:rPr>
        <w:t>"plan de sauvetage"</w:t>
      </w:r>
      <w:r w:rsidRPr="005345D3">
        <w:rPr>
          <w:rFonts w:eastAsia="Times New Roman" w:cstheme="minorHAnsi"/>
          <w:color w:val="000000"/>
          <w:sz w:val="24"/>
          <w:szCs w:val="24"/>
          <w:lang w:eastAsia="fr-BE"/>
        </w:rPr>
        <w:t> pour sa filiale calédonienne, qui estime les pertes liées à ces mouvements sociaux à plus de 11 millions d'euros. La montée en puissance trop lente de l’usine de Sandouville après le remplacement de la matte de nickel calédonienne par de la matte finlandaise a enfoncé le clou d’une piètre performance de la branche.</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BB0D22"/>
          <w:sz w:val="24"/>
          <w:szCs w:val="24"/>
          <w:lang w:eastAsia="fr-BE"/>
        </w:rPr>
        <w:t>Le manganèse en pleine forme</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 xml:space="preserve">Tout ne va pas mal, tout de même. </w:t>
      </w:r>
      <w:proofErr w:type="spellStart"/>
      <w:r w:rsidRPr="005345D3">
        <w:rPr>
          <w:rFonts w:eastAsia="Times New Roman" w:cstheme="minorHAnsi"/>
          <w:color w:val="000000"/>
          <w:sz w:val="24"/>
          <w:szCs w:val="24"/>
          <w:lang w:eastAsia="fr-BE"/>
        </w:rPr>
        <w:t>Eramet</w:t>
      </w:r>
      <w:proofErr w:type="spellEnd"/>
      <w:r w:rsidRPr="005345D3">
        <w:rPr>
          <w:rFonts w:eastAsia="Times New Roman" w:cstheme="minorHAnsi"/>
          <w:color w:val="000000"/>
          <w:sz w:val="24"/>
          <w:szCs w:val="24"/>
          <w:lang w:eastAsia="fr-BE"/>
        </w:rPr>
        <w:t xml:space="preserve"> est très satisfait de sa consolidation à 100% de </w:t>
      </w:r>
      <w:proofErr w:type="spellStart"/>
      <w:r w:rsidRPr="005345D3">
        <w:rPr>
          <w:rFonts w:eastAsia="Times New Roman" w:cstheme="minorHAnsi"/>
          <w:color w:val="000000"/>
          <w:sz w:val="24"/>
          <w:szCs w:val="24"/>
          <w:lang w:eastAsia="fr-BE"/>
        </w:rPr>
        <w:t>Tizir</w:t>
      </w:r>
      <w:proofErr w:type="spellEnd"/>
      <w:r w:rsidRPr="005345D3">
        <w:rPr>
          <w:rFonts w:eastAsia="Times New Roman" w:cstheme="minorHAnsi"/>
          <w:color w:val="000000"/>
          <w:sz w:val="24"/>
          <w:szCs w:val="24"/>
          <w:lang w:eastAsia="fr-BE"/>
        </w:rPr>
        <w:t>, qui produit des sables minéralisés à Grande Côte au Sénégal, après l’OPA menée contre son ancien partenaire australien MDL.</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 xml:space="preserve">Mais ce qui sauve </w:t>
      </w:r>
      <w:proofErr w:type="spellStart"/>
      <w:r w:rsidRPr="005345D3">
        <w:rPr>
          <w:rFonts w:eastAsia="Times New Roman" w:cstheme="minorHAnsi"/>
          <w:color w:val="000000"/>
          <w:sz w:val="24"/>
          <w:szCs w:val="24"/>
          <w:lang w:eastAsia="fr-BE"/>
        </w:rPr>
        <w:t>Eramet</w:t>
      </w:r>
      <w:proofErr w:type="spellEnd"/>
      <w:r w:rsidRPr="005345D3">
        <w:rPr>
          <w:rFonts w:eastAsia="Times New Roman" w:cstheme="minorHAnsi"/>
          <w:color w:val="000000"/>
          <w:sz w:val="24"/>
          <w:szCs w:val="24"/>
          <w:lang w:eastAsia="fr-BE"/>
        </w:rPr>
        <w:t xml:space="preserve">, c’est surtout la production record de manganèse au Gabon, à 4,3 millions de tonnes de minerai extrait. L’objectif de la </w:t>
      </w:r>
      <w:proofErr w:type="spellStart"/>
      <w:r w:rsidRPr="005345D3">
        <w:rPr>
          <w:rFonts w:eastAsia="Times New Roman" w:cstheme="minorHAnsi"/>
          <w:color w:val="000000"/>
          <w:sz w:val="24"/>
          <w:szCs w:val="24"/>
          <w:lang w:eastAsia="fr-BE"/>
        </w:rPr>
        <w:t>Comilog</w:t>
      </w:r>
      <w:proofErr w:type="spellEnd"/>
      <w:r w:rsidRPr="005345D3">
        <w:rPr>
          <w:rFonts w:eastAsia="Times New Roman" w:cstheme="minorHAnsi"/>
          <w:color w:val="000000"/>
          <w:sz w:val="24"/>
          <w:szCs w:val="24"/>
          <w:lang w:eastAsia="fr-BE"/>
        </w:rPr>
        <w:t xml:space="preserve"> est fixé pour cette année à 4,5 millions de tonnes. La branche réalise 49% du chiffre d'affaires du groupe.</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BB0D22"/>
          <w:sz w:val="24"/>
          <w:szCs w:val="24"/>
          <w:lang w:eastAsia="fr-BE"/>
        </w:rPr>
        <w:t>Le résultat chute de 74%</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5345D3">
        <w:rPr>
          <w:rFonts w:eastAsia="Times New Roman" w:cstheme="minorHAnsi"/>
          <w:color w:val="000000"/>
          <w:sz w:val="24"/>
          <w:szCs w:val="24"/>
          <w:lang w:eastAsia="fr-BE"/>
        </w:rPr>
        <w:lastRenderedPageBreak/>
        <w:t>Eramet</w:t>
      </w:r>
      <w:proofErr w:type="spellEnd"/>
      <w:r w:rsidRPr="005345D3">
        <w:rPr>
          <w:rFonts w:eastAsia="Times New Roman" w:cstheme="minorHAnsi"/>
          <w:color w:val="000000"/>
          <w:sz w:val="24"/>
          <w:szCs w:val="24"/>
          <w:lang w:eastAsia="fr-BE"/>
        </w:rPr>
        <w:t xml:space="preserve"> renoue avec les bénéfices pour la deuxième année, alors que le groupe perdait encore 179 millions d'euros en 2016 et 714 millions en 2015. En 2018, le résultat net part du groupe s'élève à 53 millions d’euros (contre 203 millions en 2017, soit -74%), pour un chiffre d’affaires de 3,825 milliards d’euros (+5%). L’</w:t>
      </w:r>
      <w:proofErr w:type="spellStart"/>
      <w:r w:rsidRPr="005345D3">
        <w:rPr>
          <w:rFonts w:eastAsia="Times New Roman" w:cstheme="minorHAnsi"/>
          <w:color w:val="000000"/>
          <w:sz w:val="24"/>
          <w:szCs w:val="24"/>
          <w:lang w:eastAsia="fr-BE"/>
        </w:rPr>
        <w:t>Ebitda</w:t>
      </w:r>
      <w:proofErr w:type="spellEnd"/>
      <w:r w:rsidRPr="005345D3">
        <w:rPr>
          <w:rFonts w:eastAsia="Times New Roman" w:cstheme="minorHAnsi"/>
          <w:color w:val="000000"/>
          <w:sz w:val="24"/>
          <w:szCs w:val="24"/>
          <w:lang w:eastAsia="fr-BE"/>
        </w:rPr>
        <w:t xml:space="preserve"> (843 millions d’euros) est en baisse de 3% et le résultat opérationnel courant (581 millions d’euros) de 4%. L’endettement, renforcé par l’acquisition de </w:t>
      </w:r>
      <w:proofErr w:type="spellStart"/>
      <w:r w:rsidRPr="005345D3">
        <w:rPr>
          <w:rFonts w:eastAsia="Times New Roman" w:cstheme="minorHAnsi"/>
          <w:color w:val="000000"/>
          <w:sz w:val="24"/>
          <w:szCs w:val="24"/>
          <w:lang w:eastAsia="fr-BE"/>
        </w:rPr>
        <w:t>Tizir</w:t>
      </w:r>
      <w:proofErr w:type="spellEnd"/>
      <w:r w:rsidRPr="005345D3">
        <w:rPr>
          <w:rFonts w:eastAsia="Times New Roman" w:cstheme="minorHAnsi"/>
          <w:color w:val="000000"/>
          <w:sz w:val="24"/>
          <w:szCs w:val="24"/>
          <w:lang w:eastAsia="fr-BE"/>
        </w:rPr>
        <w:t>, remonte de 91% à 717 millions d’euros après une forte réduction l'année précédente (de 836 millions d'euros en 2016 à 376 millions en 2017).</w:t>
      </w:r>
    </w:p>
    <w:p w:rsidR="005345D3" w:rsidRPr="005345D3" w:rsidRDefault="005345D3" w:rsidP="005345D3">
      <w:pPr>
        <w:shd w:val="clear" w:color="auto" w:fill="FFFFFF"/>
        <w:spacing w:before="100" w:beforeAutospacing="1" w:after="100" w:afterAutospacing="1" w:line="240" w:lineRule="auto"/>
        <w:rPr>
          <w:rFonts w:eastAsia="Times New Roman" w:cstheme="minorHAnsi"/>
          <w:color w:val="000000"/>
          <w:sz w:val="24"/>
          <w:szCs w:val="24"/>
          <w:lang w:eastAsia="fr-BE"/>
        </w:rPr>
      </w:pPr>
      <w:r w:rsidRPr="005345D3">
        <w:rPr>
          <w:rFonts w:eastAsia="Times New Roman" w:cstheme="minorHAnsi"/>
          <w:color w:val="000000"/>
          <w:sz w:val="24"/>
          <w:szCs w:val="24"/>
          <w:lang w:eastAsia="fr-BE"/>
        </w:rPr>
        <w:t>Christel Bories, PDG d’</w:t>
      </w:r>
      <w:proofErr w:type="spellStart"/>
      <w:r w:rsidRPr="005345D3">
        <w:rPr>
          <w:rFonts w:eastAsia="Times New Roman" w:cstheme="minorHAnsi"/>
          <w:color w:val="000000"/>
          <w:sz w:val="24"/>
          <w:szCs w:val="24"/>
          <w:lang w:eastAsia="fr-BE"/>
        </w:rPr>
        <w:t>Eramet</w:t>
      </w:r>
      <w:proofErr w:type="spellEnd"/>
      <w:r w:rsidRPr="005345D3">
        <w:rPr>
          <w:rFonts w:eastAsia="Times New Roman" w:cstheme="minorHAnsi"/>
          <w:color w:val="000000"/>
          <w:sz w:val="24"/>
          <w:szCs w:val="24"/>
          <w:lang w:eastAsia="fr-BE"/>
        </w:rPr>
        <w:t>, ne perd pas espoir pour autant : </w:t>
      </w:r>
      <w:r w:rsidRPr="005345D3">
        <w:rPr>
          <w:rFonts w:eastAsia="Times New Roman" w:cstheme="minorHAnsi"/>
          <w:i/>
          <w:iCs/>
          <w:color w:val="000000"/>
          <w:sz w:val="24"/>
          <w:szCs w:val="24"/>
          <w:lang w:eastAsia="fr-BE"/>
        </w:rPr>
        <w:t>"2019 sera l'année de l'accélération de notre transformation et de la prise de décision pour nos deux grands projets stratégiques : l’accroissement de 50% des volumes de minerai de manganèse </w:t>
      </w:r>
      <w:r w:rsidRPr="005345D3">
        <w:rPr>
          <w:rFonts w:eastAsia="Times New Roman" w:cstheme="minorHAnsi"/>
          <w:color w:val="000000"/>
          <w:sz w:val="24"/>
          <w:szCs w:val="24"/>
          <w:lang w:eastAsia="fr-BE"/>
        </w:rPr>
        <w:t>[à 7 millions de tonnes, Ndlr]</w:t>
      </w:r>
      <w:r w:rsidRPr="005345D3">
        <w:rPr>
          <w:rFonts w:eastAsia="Times New Roman" w:cstheme="minorHAnsi"/>
          <w:i/>
          <w:iCs/>
          <w:color w:val="000000"/>
          <w:sz w:val="24"/>
          <w:szCs w:val="24"/>
          <w:lang w:eastAsia="fr-BE"/>
        </w:rPr>
        <w:t> au Gabon, et la production de lithium en Argentine"</w:t>
      </w:r>
      <w:r w:rsidRPr="005345D3">
        <w:rPr>
          <w:rFonts w:eastAsia="Times New Roman" w:cstheme="minorHAnsi"/>
          <w:color w:val="000000"/>
          <w:sz w:val="24"/>
          <w:szCs w:val="24"/>
          <w:lang w:eastAsia="fr-BE"/>
        </w:rPr>
        <w:t>. Les investissements respectifs dans ces projets s'élèvent à 600 et 500 millions d'euros.</w:t>
      </w:r>
    </w:p>
    <w:p w:rsidR="00294045" w:rsidRDefault="00294045"/>
    <w:sectPr w:rsidR="00294045" w:rsidSect="00294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03D41"/>
    <w:multiLevelType w:val="multilevel"/>
    <w:tmpl w:val="5CF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D296C"/>
    <w:multiLevelType w:val="multilevel"/>
    <w:tmpl w:val="C434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C6CFB"/>
    <w:multiLevelType w:val="multilevel"/>
    <w:tmpl w:val="2EF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45D3"/>
    <w:rsid w:val="00294045"/>
    <w:rsid w:val="005345D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45"/>
  </w:style>
  <w:style w:type="paragraph" w:styleId="Titre1">
    <w:name w:val="heading 1"/>
    <w:basedOn w:val="Normal"/>
    <w:link w:val="Titre1Car"/>
    <w:uiPriority w:val="9"/>
    <w:qFormat/>
    <w:rsid w:val="005345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345D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5D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345D3"/>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5345D3"/>
    <w:rPr>
      <w:color w:val="0000FF"/>
      <w:u w:val="single"/>
    </w:rPr>
  </w:style>
  <w:style w:type="character" w:customStyle="1" w:styleId="tagart">
    <w:name w:val="tagart"/>
    <w:basedOn w:val="Policepardfaut"/>
    <w:rsid w:val="005345D3"/>
  </w:style>
  <w:style w:type="paragraph" w:customStyle="1" w:styleId="datetime">
    <w:name w:val="datetime"/>
    <w:basedOn w:val="Normal"/>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5345D3"/>
  </w:style>
  <w:style w:type="paragraph" w:customStyle="1" w:styleId="titrebloc">
    <w:name w:val="titrebloc"/>
    <w:basedOn w:val="Normal"/>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partner">
    <w:name w:val="lienpartner"/>
    <w:basedOn w:val="Normal"/>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5345D3"/>
  </w:style>
  <w:style w:type="paragraph" w:styleId="NormalWeb">
    <w:name w:val="Normal (Web)"/>
    <w:basedOn w:val="Normal"/>
    <w:uiPriority w:val="99"/>
    <w:semiHidden/>
    <w:unhideWhenUsed/>
    <w:rsid w:val="005345D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345D3"/>
    <w:rPr>
      <w:i/>
      <w:iCs/>
    </w:rPr>
  </w:style>
  <w:style w:type="character" w:customStyle="1" w:styleId="intertitre">
    <w:name w:val="intertitre"/>
    <w:basedOn w:val="Policepardfaut"/>
    <w:rsid w:val="005345D3"/>
  </w:style>
  <w:style w:type="paragraph" w:styleId="Textedebulles">
    <w:name w:val="Balloon Text"/>
    <w:basedOn w:val="Normal"/>
    <w:link w:val="TextedebullesCar"/>
    <w:uiPriority w:val="99"/>
    <w:semiHidden/>
    <w:unhideWhenUsed/>
    <w:rsid w:val="005345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45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63843">
      <w:bodyDiv w:val="1"/>
      <w:marLeft w:val="0"/>
      <w:marRight w:val="0"/>
      <w:marTop w:val="0"/>
      <w:marBottom w:val="0"/>
      <w:divBdr>
        <w:top w:val="none" w:sz="0" w:space="0" w:color="auto"/>
        <w:left w:val="none" w:sz="0" w:space="0" w:color="auto"/>
        <w:bottom w:val="none" w:sz="0" w:space="0" w:color="auto"/>
        <w:right w:val="none" w:sz="0" w:space="0" w:color="auto"/>
      </w:divBdr>
      <w:divsChild>
        <w:div w:id="1271858689">
          <w:marLeft w:val="0"/>
          <w:marRight w:val="450"/>
          <w:marTop w:val="600"/>
          <w:marBottom w:val="0"/>
          <w:divBdr>
            <w:top w:val="none" w:sz="0" w:space="0" w:color="auto"/>
            <w:left w:val="none" w:sz="0" w:space="0" w:color="auto"/>
            <w:bottom w:val="none" w:sz="0" w:space="0" w:color="auto"/>
            <w:right w:val="none" w:sz="0" w:space="0" w:color="auto"/>
          </w:divBdr>
          <w:divsChild>
            <w:div w:id="2119369760">
              <w:marLeft w:val="0"/>
              <w:marRight w:val="0"/>
              <w:marTop w:val="0"/>
              <w:marBottom w:val="0"/>
              <w:divBdr>
                <w:top w:val="single" w:sz="48" w:space="0" w:color="BB0D22"/>
                <w:left w:val="none" w:sz="0" w:space="0" w:color="auto"/>
                <w:bottom w:val="none" w:sz="0" w:space="0" w:color="auto"/>
                <w:right w:val="none" w:sz="0" w:space="0" w:color="auto"/>
              </w:divBdr>
              <w:divsChild>
                <w:div w:id="1633099258">
                  <w:marLeft w:val="0"/>
                  <w:marRight w:val="0"/>
                  <w:marTop w:val="0"/>
                  <w:marBottom w:val="0"/>
                  <w:divBdr>
                    <w:top w:val="none" w:sz="0" w:space="0" w:color="auto"/>
                    <w:left w:val="single" w:sz="6" w:space="9" w:color="ECECEC"/>
                    <w:bottom w:val="single" w:sz="6" w:space="26" w:color="ECECEC"/>
                    <w:right w:val="single" w:sz="6" w:space="9" w:color="ECECEC"/>
                  </w:divBdr>
                </w:div>
              </w:divsChild>
            </w:div>
            <w:div w:id="1469738057">
              <w:marLeft w:val="0"/>
              <w:marRight w:val="0"/>
              <w:marTop w:val="900"/>
              <w:marBottom w:val="600"/>
              <w:divBdr>
                <w:top w:val="single" w:sz="6" w:space="0" w:color="ECECEC"/>
                <w:left w:val="single" w:sz="6" w:space="0" w:color="ECECEC"/>
                <w:bottom w:val="single" w:sz="6" w:space="0" w:color="ECECEC"/>
                <w:right w:val="single" w:sz="6" w:space="0" w:color="ECECEC"/>
              </w:divBdr>
              <w:divsChild>
                <w:div w:id="961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646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en-nouvelle-caledonie-fermeture-et-suspension-pour-la-filiale-miniere-d-eramet-sln.N737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comment-la-sln-compte-stopper-son-hemorragie-de-cash.N784289" TargetMode="External"/><Relationship Id="rId5" Type="http://schemas.openxmlformats.org/officeDocument/2006/relationships/hyperlink" Target="https://www.usinenouvelle.com/article/eramet-alliages-penalise-par-des-non-conformites.N7814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3597</Characters>
  <Application>Microsoft Office Word</Application>
  <DocSecurity>0</DocSecurity>
  <Lines>29</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2019-02-25T07:07:00Z</dcterms:created>
  <dcterms:modified xsi:type="dcterms:W3CDTF">2019-02-25T07:11:00Z</dcterms:modified>
</cp:coreProperties>
</file>